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jc w:val="center"/>
        <w:rPr>
          <w:rFonts w:hint="eastAsia" w:ascii="宋体" w:hAnsi="宋体" w:eastAsia="宋体" w:cs="宋体"/>
          <w:lang w:val="en-US" w:eastAsia="zh-CN"/>
        </w:rPr>
      </w:pPr>
      <w:bookmarkStart w:id="0" w:name="_GoBack"/>
      <w:bookmarkEnd w:id="0"/>
      <w:r>
        <w:rPr>
          <w:rFonts w:hint="eastAsia" w:ascii="宋体" w:hAnsi="宋体" w:eastAsia="宋体" w:cs="宋体"/>
          <w:sz w:val="28"/>
          <w:szCs w:val="28"/>
          <w:lang w:val="en-US" w:eastAsia="zh-CN"/>
        </w:rPr>
        <w:t>多媒体交流中心定制桌椅采购项目评分标准</w:t>
      </w:r>
    </w:p>
    <w:tbl>
      <w:tblPr>
        <w:tblStyle w:val="3"/>
        <w:tblW w:w="875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10"/>
        <w:gridCol w:w="846"/>
        <w:gridCol w:w="4961"/>
        <w:gridCol w:w="163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77" w:hRule="atLeast"/>
        </w:trPr>
        <w:tc>
          <w:tcPr>
            <w:tcW w:w="1310" w:type="dxa"/>
            <w:noWrap w:val="0"/>
            <w:vAlign w:val="center"/>
          </w:tcPr>
          <w:p>
            <w:pPr>
              <w:pStyle w:val="5"/>
              <w:jc w:val="center"/>
              <w:rPr>
                <w:rFonts w:hint="default" w:eastAsia="宋体"/>
                <w:lang w:val="en-US" w:eastAsia="zh-CN"/>
              </w:rPr>
            </w:pPr>
            <w:r>
              <w:rPr>
                <w:rFonts w:hint="eastAsia" w:cs="宋体"/>
                <w:szCs w:val="21"/>
              </w:rPr>
              <w:t>评分项目</w:t>
            </w:r>
            <w:r>
              <w:rPr>
                <w:rFonts w:hint="eastAsia" w:cs="宋体"/>
                <w:szCs w:val="21"/>
                <w:lang w:val="en-US" w:eastAsia="zh-CN"/>
              </w:rPr>
              <w:t>及占比</w:t>
            </w:r>
          </w:p>
        </w:tc>
        <w:tc>
          <w:tcPr>
            <w:tcW w:w="846" w:type="dxa"/>
            <w:noWrap w:val="0"/>
            <w:vAlign w:val="center"/>
          </w:tcPr>
          <w:p>
            <w:pPr>
              <w:pStyle w:val="5"/>
              <w:jc w:val="center"/>
              <w:rPr>
                <w:rFonts w:hint="eastAsia" w:eastAsia="宋体"/>
                <w:lang w:val="en-US" w:eastAsia="zh-CN"/>
              </w:rPr>
            </w:pPr>
            <w:r>
              <w:rPr>
                <w:rFonts w:hint="eastAsia"/>
                <w:lang w:val="en-US" w:eastAsia="zh-CN"/>
              </w:rPr>
              <w:t>分值</w:t>
            </w:r>
          </w:p>
        </w:tc>
        <w:tc>
          <w:tcPr>
            <w:tcW w:w="4961" w:type="dxa"/>
            <w:noWrap w:val="0"/>
            <w:vAlign w:val="center"/>
          </w:tcPr>
          <w:p>
            <w:pPr>
              <w:pStyle w:val="5"/>
              <w:jc w:val="center"/>
              <w:rPr>
                <w:rFonts w:hint="default" w:eastAsia="宋体"/>
                <w:lang w:val="en-US" w:eastAsia="zh-CN"/>
              </w:rPr>
            </w:pPr>
            <w:r>
              <w:rPr>
                <w:rFonts w:hint="eastAsia"/>
                <w:lang w:val="en-US" w:eastAsia="zh-CN"/>
              </w:rPr>
              <w:t>评分标准</w:t>
            </w:r>
          </w:p>
        </w:tc>
        <w:tc>
          <w:tcPr>
            <w:tcW w:w="1639" w:type="dxa"/>
            <w:noWrap w:val="0"/>
            <w:vAlign w:val="center"/>
          </w:tcPr>
          <w:p>
            <w:pPr>
              <w:pStyle w:val="5"/>
              <w:jc w:val="center"/>
              <w:rPr>
                <w:rFonts w:hint="eastAsia" w:eastAsia="宋体"/>
                <w:lang w:eastAsia="zh-CN"/>
              </w:rPr>
            </w:pPr>
            <w:r>
              <w:rPr>
                <w:rFonts w:hint="eastAsia"/>
                <w:lang w:val="en-US" w:eastAsia="zh-CN"/>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87" w:hRule="atLeast"/>
        </w:trPr>
        <w:tc>
          <w:tcPr>
            <w:tcW w:w="1310" w:type="dxa"/>
            <w:noWrap w:val="0"/>
            <w:vAlign w:val="center"/>
          </w:tcPr>
          <w:p>
            <w:pPr>
              <w:pStyle w:val="5"/>
              <w:jc w:val="center"/>
              <w:rPr>
                <w:rFonts w:hint="eastAsia" w:eastAsia="宋体"/>
                <w:lang w:eastAsia="zh-CN"/>
              </w:rPr>
            </w:pPr>
            <w:r>
              <w:rPr>
                <w:rFonts w:hint="eastAsia"/>
                <w:lang w:val="en-US" w:eastAsia="zh-CN"/>
              </w:rPr>
              <w:t>报价（30%）</w:t>
            </w:r>
          </w:p>
        </w:tc>
        <w:tc>
          <w:tcPr>
            <w:tcW w:w="846" w:type="dxa"/>
            <w:noWrap w:val="0"/>
            <w:vAlign w:val="center"/>
          </w:tcPr>
          <w:p>
            <w:pPr>
              <w:pStyle w:val="5"/>
              <w:jc w:val="center"/>
              <w:rPr>
                <w:rFonts w:hint="default" w:eastAsia="宋体"/>
                <w:lang w:val="en-US" w:eastAsia="zh-CN"/>
              </w:rPr>
            </w:pPr>
            <w:r>
              <w:rPr>
                <w:rFonts w:hint="eastAsia"/>
                <w:lang w:val="en-US" w:eastAsia="zh-CN"/>
              </w:rPr>
              <w:t>30</w:t>
            </w:r>
          </w:p>
        </w:tc>
        <w:tc>
          <w:tcPr>
            <w:tcW w:w="4961" w:type="dxa"/>
            <w:noWrap w:val="0"/>
            <w:vAlign w:val="center"/>
          </w:tcPr>
          <w:p>
            <w:pPr>
              <w:pStyle w:val="5"/>
              <w:jc w:val="left"/>
              <w:rPr>
                <w:rFonts w:hint="eastAsia" w:eastAsia="宋体"/>
                <w:lang w:val="en-US" w:eastAsia="zh-CN"/>
              </w:rPr>
            </w:pPr>
            <w:r>
              <w:t>最低有效投标报价作为评标基准价：投标报价得分=（评标基准价/投标报价）×30</w:t>
            </w:r>
          </w:p>
        </w:tc>
        <w:tc>
          <w:tcPr>
            <w:tcW w:w="1639" w:type="dxa"/>
            <w:noWrap w:val="0"/>
            <w:vAlign w:val="center"/>
          </w:tcPr>
          <w:p>
            <w:pPr>
              <w:pStyle w:val="5"/>
              <w:jc w:val="both"/>
              <w:rPr>
                <w:rFonts w:hint="default"/>
                <w:lang w:val="en-US" w:eastAsia="zh-CN"/>
              </w:rPr>
            </w:pPr>
            <w:r>
              <w:rPr>
                <w:rFonts w:hint="eastAsia" w:ascii="宋体" w:hAnsi="宋体" w:cs="宋体"/>
                <w:lang w:bidi="ar"/>
              </w:rPr>
              <w:t>保留小数点后两位数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59" w:hRule="atLeast"/>
        </w:trPr>
        <w:tc>
          <w:tcPr>
            <w:tcW w:w="1310" w:type="dxa"/>
            <w:noWrap w:val="0"/>
            <w:vAlign w:val="center"/>
          </w:tcPr>
          <w:p>
            <w:pPr>
              <w:pStyle w:val="5"/>
              <w:jc w:val="center"/>
              <w:rPr>
                <w:rFonts w:hint="eastAsia" w:eastAsia="宋体"/>
                <w:lang w:eastAsia="zh-CN"/>
              </w:rPr>
            </w:pPr>
            <w:r>
              <w:t>技术指标</w:t>
            </w:r>
            <w:r>
              <w:rPr>
                <w:rFonts w:hint="eastAsia"/>
                <w:lang w:eastAsia="zh-CN"/>
              </w:rPr>
              <w:t>（</w:t>
            </w:r>
            <w:r>
              <w:rPr>
                <w:rFonts w:hint="eastAsia"/>
                <w:lang w:val="en-US" w:eastAsia="zh-CN"/>
              </w:rPr>
              <w:t>43.5%</w:t>
            </w:r>
            <w:r>
              <w:rPr>
                <w:rFonts w:hint="eastAsia"/>
                <w:lang w:eastAsia="zh-CN"/>
              </w:rPr>
              <w:t>）</w:t>
            </w:r>
          </w:p>
        </w:tc>
        <w:tc>
          <w:tcPr>
            <w:tcW w:w="846" w:type="dxa"/>
            <w:noWrap w:val="0"/>
            <w:vAlign w:val="center"/>
          </w:tcPr>
          <w:p>
            <w:pPr>
              <w:pStyle w:val="5"/>
              <w:numPr>
                <w:ilvl w:val="0"/>
                <w:numId w:val="0"/>
              </w:numPr>
              <w:jc w:val="center"/>
              <w:rPr>
                <w:rFonts w:hint="default" w:eastAsia="宋体"/>
                <w:lang w:val="en-US" w:eastAsia="zh-CN"/>
              </w:rPr>
            </w:pPr>
            <w:r>
              <w:rPr>
                <w:rFonts w:hint="eastAsia"/>
                <w:lang w:val="en-US" w:eastAsia="zh-CN"/>
              </w:rPr>
              <w:t>43.5</w:t>
            </w:r>
          </w:p>
        </w:tc>
        <w:tc>
          <w:tcPr>
            <w:tcW w:w="4961" w:type="dxa"/>
            <w:noWrap w:val="0"/>
            <w:vAlign w:val="center"/>
          </w:tcPr>
          <w:p>
            <w:pPr>
              <w:pStyle w:val="5"/>
              <w:numPr>
                <w:ilvl w:val="0"/>
                <w:numId w:val="1"/>
              </w:numPr>
              <w:jc w:val="left"/>
            </w:pPr>
            <w:r>
              <w:t>投标人所投产品完全满足招标文件技术参数与性能指标条款得</w:t>
            </w:r>
            <w:r>
              <w:rPr>
                <w:rFonts w:hint="eastAsia"/>
                <w:lang w:val="en-US" w:eastAsia="zh-CN"/>
              </w:rPr>
              <w:t>43.5</w:t>
            </w:r>
            <w:r>
              <w:t>分。</w:t>
            </w:r>
          </w:p>
          <w:p>
            <w:pPr>
              <w:pStyle w:val="5"/>
              <w:numPr>
                <w:numId w:val="0"/>
              </w:numPr>
              <w:jc w:val="left"/>
            </w:pPr>
            <w:r>
              <w:rPr>
                <w:rFonts w:hint="eastAsia"/>
                <w:lang w:val="en-US" w:eastAsia="zh-CN"/>
              </w:rPr>
              <w:t>其中</w:t>
            </w:r>
            <w:r>
              <w:t>“▲”的技术参数共</w:t>
            </w:r>
            <w:r>
              <w:rPr>
                <w:rFonts w:hint="eastAsia"/>
                <w:lang w:val="en-US" w:eastAsia="zh-CN"/>
              </w:rPr>
              <w:t>16</w:t>
            </w:r>
            <w:r>
              <w:t>条</w:t>
            </w:r>
            <w:r>
              <w:rPr>
                <w:rFonts w:hint="eastAsia"/>
                <w:lang w:eastAsia="zh-CN"/>
              </w:rPr>
              <w:t>，</w:t>
            </w:r>
            <w:r>
              <w:t>完全满足的得</w:t>
            </w:r>
            <w:r>
              <w:rPr>
                <w:rFonts w:hint="eastAsia"/>
                <w:lang w:val="en-US" w:eastAsia="zh-CN"/>
              </w:rPr>
              <w:t>32</w:t>
            </w:r>
            <w:r>
              <w:t>分，每有一条不满足的扣</w:t>
            </w:r>
            <w:r>
              <w:rPr>
                <w:rFonts w:hint="eastAsia"/>
                <w:lang w:val="en-US" w:eastAsia="zh-CN"/>
              </w:rPr>
              <w:t>2</w:t>
            </w:r>
            <w:r>
              <w:t>分，直到扣完为止</w:t>
            </w:r>
            <w:r>
              <w:rPr>
                <w:rFonts w:hint="eastAsia"/>
                <w:lang w:eastAsia="zh-CN"/>
              </w:rPr>
              <w:t>：</w:t>
            </w:r>
            <w:r>
              <w:t>非▲项技术参数共</w:t>
            </w:r>
            <w:r>
              <w:rPr>
                <w:rFonts w:hint="eastAsia"/>
                <w:lang w:val="en-US" w:eastAsia="zh-CN"/>
              </w:rPr>
              <w:t>23</w:t>
            </w:r>
            <w:r>
              <w:t>条，完全满足的得</w:t>
            </w:r>
            <w:r>
              <w:rPr>
                <w:rFonts w:hint="eastAsia"/>
                <w:lang w:val="en-US" w:eastAsia="zh-CN"/>
              </w:rPr>
              <w:t>11.5</w:t>
            </w:r>
            <w:r>
              <w:t>分，每有一条不满足的扣</w:t>
            </w:r>
            <w:r>
              <w:rPr>
                <w:rFonts w:hint="eastAsia"/>
                <w:lang w:val="en-US" w:eastAsia="zh-CN"/>
              </w:rPr>
              <w:t>0.5</w:t>
            </w:r>
            <w:r>
              <w:t>分，直到扣完为止。</w:t>
            </w:r>
          </w:p>
          <w:p>
            <w:pPr>
              <w:pStyle w:val="5"/>
              <w:numPr>
                <w:numId w:val="0"/>
              </w:numPr>
              <w:jc w:val="left"/>
            </w:pPr>
            <w:r>
              <w:t xml:space="preserve"> 说明：1、标注“▲”的技术参数指标</w:t>
            </w:r>
            <w:r>
              <w:rPr>
                <w:rFonts w:hint="eastAsia"/>
                <w:lang w:eastAsia="zh-CN"/>
              </w:rPr>
              <w:t>，</w:t>
            </w:r>
            <w:r>
              <w:t>投标人或所投产品生产厂家提供由国家认可第三方检测机构出具的检验报告复印件加盖公章予以佐证，否则不予认定。2、检测检验报告需同时提供官方网站查询截图或国家市场监管总局全国认证认可信息公共服务平台查询截图，否则不予认定。</w:t>
            </w:r>
          </w:p>
        </w:tc>
        <w:tc>
          <w:tcPr>
            <w:tcW w:w="1639" w:type="dxa"/>
            <w:noWrap w:val="0"/>
            <w:vAlign w:val="center"/>
          </w:tcPr>
          <w:p>
            <w:pPr>
              <w:pStyle w:val="5"/>
              <w:jc w:val="left"/>
              <w:rPr>
                <w:rFonts w:hint="eastAsia"/>
                <w:lang w:val="en-US" w:eastAsia="zh-CN"/>
              </w:rPr>
            </w:pPr>
          </w:p>
          <w:p>
            <w:pPr>
              <w:pStyle w:val="5"/>
              <w:jc w:val="left"/>
              <w:rPr>
                <w:rFonts w:hint="eastAsia"/>
                <w:lang w:val="en-US" w:eastAsia="zh-CN"/>
              </w:rPr>
            </w:pPr>
          </w:p>
          <w:p>
            <w:pPr>
              <w:pStyle w:val="5"/>
              <w:jc w:val="left"/>
              <w:rPr>
                <w:rFonts w:hint="eastAsia"/>
                <w:lang w:val="en-US" w:eastAsia="zh-CN"/>
              </w:rPr>
            </w:pPr>
          </w:p>
          <w:p>
            <w:pPr>
              <w:pStyle w:val="5"/>
              <w:jc w:val="left"/>
              <w:rPr>
                <w:rFonts w:hint="eastAsia"/>
                <w:lang w:val="en-US" w:eastAsia="zh-CN"/>
              </w:rPr>
            </w:pPr>
          </w:p>
          <w:p>
            <w:pPr>
              <w:pStyle w:val="5"/>
              <w:jc w:val="left"/>
              <w:rPr>
                <w:rFonts w:hint="eastAsia"/>
                <w:lang w:val="en-US" w:eastAsia="zh-CN"/>
              </w:rPr>
            </w:pPr>
          </w:p>
          <w:p>
            <w:pPr>
              <w:pStyle w:val="5"/>
              <w:jc w:val="left"/>
              <w:rPr>
                <w:rFonts w:hint="eastAsia"/>
                <w:lang w:val="en-US" w:eastAsia="zh-CN"/>
              </w:rPr>
            </w:pPr>
          </w:p>
          <w:p>
            <w:pPr>
              <w:pStyle w:val="5"/>
              <w:jc w:val="left"/>
              <w:rPr>
                <w:rFonts w:hint="default"/>
                <w:lang w:val="en-US"/>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012" w:hRule="atLeast"/>
        </w:trPr>
        <w:tc>
          <w:tcPr>
            <w:tcW w:w="1310" w:type="dxa"/>
            <w:noWrap w:val="0"/>
            <w:vAlign w:val="center"/>
          </w:tcPr>
          <w:p>
            <w:pPr>
              <w:pStyle w:val="5"/>
              <w:jc w:val="center"/>
              <w:rPr>
                <w:rFonts w:hint="eastAsia" w:eastAsia="宋体"/>
                <w:lang w:eastAsia="zh-CN"/>
              </w:rPr>
            </w:pPr>
            <w:r>
              <w:t>售后服务</w:t>
            </w:r>
            <w:r>
              <w:rPr>
                <w:rFonts w:hint="eastAsia"/>
                <w:lang w:eastAsia="zh-CN"/>
              </w:rPr>
              <w:t>（</w:t>
            </w:r>
            <w:r>
              <w:rPr>
                <w:rFonts w:hint="eastAsia"/>
                <w:lang w:val="en-US" w:eastAsia="zh-CN"/>
              </w:rPr>
              <w:t>18%</w:t>
            </w:r>
            <w:r>
              <w:rPr>
                <w:rFonts w:hint="eastAsia"/>
                <w:lang w:eastAsia="zh-CN"/>
              </w:rPr>
              <w:t>）</w:t>
            </w:r>
          </w:p>
        </w:tc>
        <w:tc>
          <w:tcPr>
            <w:tcW w:w="846" w:type="dxa"/>
            <w:noWrap w:val="0"/>
            <w:vAlign w:val="center"/>
          </w:tcPr>
          <w:p>
            <w:pPr>
              <w:pStyle w:val="5"/>
              <w:jc w:val="center"/>
              <w:rPr>
                <w:rFonts w:hint="default" w:ascii="Calibri" w:hAnsi="Calibri" w:eastAsia="宋体" w:cs="Times New Roman"/>
                <w:b w:val="0"/>
                <w:bCs w:val="0"/>
                <w:kern w:val="0"/>
                <w:sz w:val="20"/>
                <w:szCs w:val="20"/>
                <w:lang w:val="en-US" w:eastAsia="zh-CN"/>
              </w:rPr>
            </w:pPr>
            <w:r>
              <w:rPr>
                <w:rFonts w:hint="eastAsia" w:cs="Times New Roman"/>
                <w:b w:val="0"/>
                <w:bCs w:val="0"/>
                <w:kern w:val="0"/>
                <w:sz w:val="20"/>
                <w:szCs w:val="20"/>
                <w:lang w:val="en-US" w:eastAsia="zh-CN"/>
              </w:rPr>
              <w:t>18</w:t>
            </w:r>
          </w:p>
        </w:tc>
        <w:tc>
          <w:tcPr>
            <w:tcW w:w="4961" w:type="dxa"/>
            <w:noWrap w:val="0"/>
            <w:vAlign w:val="center"/>
          </w:tcPr>
          <w:p>
            <w:pPr>
              <w:spacing w:line="288" w:lineRule="auto"/>
              <w:jc w:val="left"/>
              <w:rPr>
                <w:rFonts w:hint="eastAsia" w:ascii="Calibri" w:hAnsi="Calibri" w:eastAsia="宋体" w:cs="Times New Roman"/>
                <w:b w:val="0"/>
                <w:bCs w:val="0"/>
                <w:kern w:val="0"/>
                <w:sz w:val="20"/>
                <w:szCs w:val="20"/>
                <w:lang w:val="en-US" w:eastAsia="zh-Hans"/>
              </w:rPr>
            </w:pPr>
            <w:r>
              <w:rPr>
                <w:rFonts w:hint="eastAsia" w:ascii="Calibri" w:hAnsi="Calibri" w:eastAsia="宋体" w:cs="Times New Roman"/>
                <w:b w:val="0"/>
                <w:bCs w:val="0"/>
                <w:kern w:val="0"/>
                <w:sz w:val="20"/>
                <w:szCs w:val="20"/>
                <w:lang w:val="en-US" w:eastAsia="zh-Hans"/>
              </w:rPr>
              <w:t>投标人</w:t>
            </w:r>
            <w:r>
              <w:rPr>
                <w:rFonts w:hint="eastAsia" w:cs="Times New Roman"/>
                <w:b w:val="0"/>
                <w:bCs w:val="0"/>
                <w:kern w:val="0"/>
                <w:sz w:val="20"/>
                <w:szCs w:val="20"/>
                <w:lang w:val="en-US" w:eastAsia="zh-CN"/>
              </w:rPr>
              <w:t>对该</w:t>
            </w:r>
            <w:r>
              <w:rPr>
                <w:rFonts w:hint="eastAsia" w:ascii="Calibri" w:hAnsi="Calibri" w:eastAsia="宋体" w:cs="Times New Roman"/>
                <w:b w:val="0"/>
                <w:bCs w:val="0"/>
                <w:kern w:val="0"/>
                <w:sz w:val="20"/>
                <w:szCs w:val="20"/>
                <w:lang w:val="en-US" w:eastAsia="zh-Hans"/>
              </w:rPr>
              <w:t>项目</w:t>
            </w:r>
            <w:r>
              <w:rPr>
                <w:rFonts w:hint="eastAsia" w:cs="Times New Roman"/>
                <w:b w:val="0"/>
                <w:bCs w:val="0"/>
                <w:kern w:val="0"/>
                <w:sz w:val="20"/>
                <w:szCs w:val="20"/>
                <w:lang w:val="en-US" w:eastAsia="zh-CN"/>
              </w:rPr>
              <w:t>制定详细的</w:t>
            </w:r>
            <w:r>
              <w:rPr>
                <w:rFonts w:hint="eastAsia" w:ascii="Calibri" w:hAnsi="Calibri" w:eastAsia="宋体" w:cs="Times New Roman"/>
                <w:b w:val="0"/>
                <w:bCs w:val="0"/>
                <w:kern w:val="0"/>
                <w:sz w:val="20"/>
                <w:szCs w:val="20"/>
                <w:lang w:val="en-US" w:eastAsia="zh-Hans"/>
              </w:rPr>
              <w:t>实施方案</w:t>
            </w:r>
            <w:r>
              <w:rPr>
                <w:rFonts w:hint="eastAsia" w:cs="Times New Roman"/>
                <w:b w:val="0"/>
                <w:bCs w:val="0"/>
                <w:kern w:val="0"/>
                <w:sz w:val="20"/>
                <w:szCs w:val="20"/>
                <w:lang w:val="en-US" w:eastAsia="zh-CN"/>
              </w:rPr>
              <w:t>，</w:t>
            </w:r>
            <w:r>
              <w:rPr>
                <w:rFonts w:hint="eastAsia" w:ascii="Calibri" w:hAnsi="Calibri" w:eastAsia="宋体" w:cs="Times New Roman"/>
                <w:b w:val="0"/>
                <w:bCs w:val="0"/>
                <w:kern w:val="0"/>
                <w:sz w:val="20"/>
                <w:szCs w:val="20"/>
                <w:lang w:val="en-US" w:eastAsia="zh-Hans"/>
              </w:rPr>
              <w:t>包括但不限于以下内容：①服务标准（运输、安装）；②售后人员配置；③售后工作流程</w:t>
            </w:r>
            <w:r>
              <w:rPr>
                <w:rFonts w:hint="eastAsia" w:cs="Times New Roman"/>
                <w:b w:val="0"/>
                <w:bCs w:val="0"/>
                <w:kern w:val="0"/>
                <w:sz w:val="20"/>
                <w:szCs w:val="20"/>
                <w:lang w:val="en-US" w:eastAsia="zh-CN"/>
              </w:rPr>
              <w:t>及</w:t>
            </w:r>
            <w:r>
              <w:rPr>
                <w:rFonts w:hint="eastAsia" w:ascii="Calibri" w:hAnsi="Calibri" w:eastAsia="宋体" w:cs="Times New Roman"/>
                <w:b w:val="0"/>
                <w:bCs w:val="0"/>
                <w:kern w:val="0"/>
                <w:sz w:val="20"/>
                <w:szCs w:val="20"/>
                <w:lang w:val="en-US" w:eastAsia="zh-Hans"/>
              </w:rPr>
              <w:t>规范；④特殊情况下紧急供货措施方案；⑤质量保证措施；⑥售后保证措施及期限；</w:t>
            </w:r>
          </w:p>
          <w:p>
            <w:pPr>
              <w:pStyle w:val="5"/>
              <w:jc w:val="left"/>
            </w:pPr>
            <w:r>
              <w:rPr>
                <w:rFonts w:hint="eastAsia"/>
              </w:rPr>
              <w:t xml:space="preserve">每缺少一项要求的方案内容扣 </w:t>
            </w:r>
            <w:r>
              <w:rPr>
                <w:rFonts w:hint="eastAsia"/>
                <w:lang w:val="en-US" w:eastAsia="zh-CN"/>
              </w:rPr>
              <w:t>3</w:t>
            </w:r>
            <w:r>
              <w:rPr>
                <w:rFonts w:hint="eastAsia"/>
              </w:rPr>
              <w:t>分，每有一项要求的方案内容有一处缺陷的（缺陷是指：存在不适用项目实际情况的情形、存在偏差、过于简略、出现不可能实现的夸大情形、内容相互矛盾、逻辑漏洞、科学原理错误以及凭空编造等）扣</w:t>
            </w:r>
            <w:r>
              <w:rPr>
                <w:rFonts w:hint="eastAsia"/>
                <w:lang w:val="en-US" w:eastAsia="zh-CN"/>
              </w:rPr>
              <w:t>1.5</w:t>
            </w:r>
            <w:r>
              <w:rPr>
                <w:rFonts w:hint="eastAsia"/>
              </w:rPr>
              <w:t>分，扣完为止。</w:t>
            </w:r>
          </w:p>
        </w:tc>
        <w:tc>
          <w:tcPr>
            <w:tcW w:w="1639" w:type="dxa"/>
            <w:noWrap w:val="0"/>
            <w:vAlign w:val="center"/>
          </w:tcPr>
          <w:p>
            <w:pPr>
              <w:pStyle w:val="5"/>
              <w:jc w:val="center"/>
              <w:rPr>
                <w:rFonts w:hint="eastAsia"/>
                <w:lang w:val="en-US" w:eastAsia="zh-CN"/>
              </w:rPr>
            </w:pPr>
          </w:p>
          <w:p>
            <w:pPr>
              <w:pStyle w:val="5"/>
              <w:jc w:val="center"/>
              <w:rPr>
                <w:rFonts w:hint="default"/>
                <w:lang w:val="en-US"/>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42" w:hRule="atLeast"/>
        </w:trPr>
        <w:tc>
          <w:tcPr>
            <w:tcW w:w="1310" w:type="dxa"/>
            <w:noWrap w:val="0"/>
            <w:vAlign w:val="center"/>
          </w:tcPr>
          <w:p>
            <w:pPr>
              <w:pStyle w:val="5"/>
              <w:jc w:val="center"/>
            </w:pPr>
            <w:r>
              <w:t>环境标志产品</w:t>
            </w:r>
          </w:p>
          <w:p>
            <w:pPr>
              <w:pStyle w:val="5"/>
              <w:jc w:val="center"/>
              <w:rPr>
                <w:rFonts w:hint="eastAsia" w:eastAsia="宋体"/>
                <w:lang w:eastAsia="zh-CN"/>
              </w:rPr>
            </w:pPr>
            <w:r>
              <w:rPr>
                <w:rFonts w:hint="eastAsia"/>
                <w:lang w:eastAsia="zh-CN"/>
              </w:rPr>
              <w:t>（</w:t>
            </w:r>
            <w:r>
              <w:rPr>
                <w:rFonts w:hint="eastAsia"/>
                <w:lang w:val="en-US" w:eastAsia="zh-CN"/>
              </w:rPr>
              <w:t>3.5%</w:t>
            </w:r>
            <w:r>
              <w:rPr>
                <w:rFonts w:hint="eastAsia"/>
                <w:lang w:eastAsia="zh-CN"/>
              </w:rPr>
              <w:t>）</w:t>
            </w:r>
          </w:p>
        </w:tc>
        <w:tc>
          <w:tcPr>
            <w:tcW w:w="846" w:type="dxa"/>
            <w:noWrap w:val="0"/>
            <w:vAlign w:val="center"/>
          </w:tcPr>
          <w:p>
            <w:pPr>
              <w:pStyle w:val="5"/>
              <w:jc w:val="center"/>
              <w:rPr>
                <w:rFonts w:hint="default" w:eastAsia="宋体"/>
                <w:lang w:val="en-US" w:eastAsia="zh-CN"/>
              </w:rPr>
            </w:pPr>
            <w:r>
              <w:rPr>
                <w:rFonts w:hint="eastAsia"/>
                <w:lang w:val="en-US" w:eastAsia="zh-CN"/>
              </w:rPr>
              <w:t>3.5</w:t>
            </w:r>
          </w:p>
        </w:tc>
        <w:tc>
          <w:tcPr>
            <w:tcW w:w="4961" w:type="dxa"/>
            <w:noWrap w:val="0"/>
            <w:vAlign w:val="center"/>
          </w:tcPr>
          <w:p>
            <w:pPr>
              <w:pStyle w:val="5"/>
              <w:jc w:val="left"/>
              <w:rPr>
                <w:rFonts w:hint="eastAsia" w:eastAsia="宋体"/>
                <w:lang w:eastAsia="zh-CN"/>
              </w:rPr>
            </w:pPr>
            <w:r>
              <w:t>投标人提供的投标产品属于环境标志产品政府采购品目清单中的，每有1个得0.</w:t>
            </w:r>
            <w:r>
              <w:rPr>
                <w:rFonts w:hint="eastAsia"/>
                <w:lang w:val="en-US" w:eastAsia="zh-CN"/>
              </w:rPr>
              <w:t>5</w:t>
            </w:r>
            <w:r>
              <w:t>分，本项最多得</w:t>
            </w:r>
            <w:r>
              <w:rPr>
                <w:rFonts w:hint="eastAsia"/>
                <w:lang w:val="en-US" w:eastAsia="zh-CN"/>
              </w:rPr>
              <w:t>3.5</w:t>
            </w:r>
            <w:r>
              <w:t>分。（说明：提供</w:t>
            </w:r>
            <w:r>
              <w:rPr>
                <w:rFonts w:hint="eastAsia"/>
                <w:lang w:val="en-US" w:eastAsia="zh-CN"/>
              </w:rPr>
              <w:t>投标产品</w:t>
            </w:r>
            <w:r>
              <w:t>有效的环境标志产品证书复印件。</w:t>
            </w:r>
            <w:r>
              <w:rPr>
                <w:rFonts w:hint="eastAsia"/>
                <w:lang w:eastAsia="zh-CN"/>
              </w:rPr>
              <w:t>）</w:t>
            </w:r>
          </w:p>
        </w:tc>
        <w:tc>
          <w:tcPr>
            <w:tcW w:w="1639" w:type="dxa"/>
            <w:noWrap w:val="0"/>
            <w:vAlign w:val="center"/>
          </w:tcPr>
          <w:p>
            <w:pPr>
              <w:pStyle w:val="5"/>
              <w:jc w:val="center"/>
              <w:rPr>
                <w:rFonts w:hint="default"/>
                <w:lang w:val="en-US"/>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46" w:hRule="atLeast"/>
        </w:trPr>
        <w:tc>
          <w:tcPr>
            <w:tcW w:w="1310" w:type="dxa"/>
            <w:noWrap w:val="0"/>
            <w:vAlign w:val="center"/>
          </w:tcPr>
          <w:p>
            <w:pPr>
              <w:pStyle w:val="5"/>
              <w:jc w:val="center"/>
              <w:rPr>
                <w:rFonts w:hint="eastAsia" w:ascii="宋体" w:hAnsi="宋体" w:cs="宋体"/>
                <w:b w:val="0"/>
                <w:sz w:val="22"/>
                <w:szCs w:val="22"/>
              </w:rPr>
            </w:pPr>
          </w:p>
          <w:p>
            <w:pPr>
              <w:pStyle w:val="5"/>
              <w:jc w:val="center"/>
              <w:rPr>
                <w:rFonts w:hint="eastAsia" w:eastAsia="宋体"/>
                <w:lang w:eastAsia="zh-CN"/>
              </w:rPr>
            </w:pPr>
            <w:r>
              <w:rPr>
                <w:rFonts w:hint="eastAsia"/>
              </w:rPr>
              <w:t>响应文件的规范性</w:t>
            </w:r>
            <w:r>
              <w:rPr>
                <w:rFonts w:hint="eastAsia" w:ascii="宋体" w:hAnsi="宋体" w:cs="宋体"/>
                <w:b w:val="0"/>
                <w:sz w:val="22"/>
                <w:szCs w:val="22"/>
                <w:lang w:eastAsia="zh-CN"/>
              </w:rPr>
              <w:t>（</w:t>
            </w:r>
            <w:r>
              <w:rPr>
                <w:rFonts w:hint="eastAsia" w:ascii="宋体" w:hAnsi="宋体" w:cs="宋体"/>
                <w:b w:val="0"/>
                <w:sz w:val="22"/>
                <w:szCs w:val="22"/>
                <w:lang w:val="en-US" w:eastAsia="zh-CN"/>
              </w:rPr>
              <w:t>5%</w:t>
            </w:r>
            <w:r>
              <w:rPr>
                <w:rFonts w:hint="eastAsia" w:ascii="宋体" w:hAnsi="宋体" w:cs="宋体"/>
                <w:b w:val="0"/>
                <w:sz w:val="22"/>
                <w:szCs w:val="22"/>
                <w:lang w:eastAsia="zh-CN"/>
              </w:rPr>
              <w:t>）</w:t>
            </w:r>
          </w:p>
          <w:p>
            <w:pPr>
              <w:pStyle w:val="5"/>
              <w:jc w:val="center"/>
            </w:pPr>
          </w:p>
        </w:tc>
        <w:tc>
          <w:tcPr>
            <w:tcW w:w="846" w:type="dxa"/>
            <w:noWrap w:val="0"/>
            <w:vAlign w:val="center"/>
          </w:tcPr>
          <w:p>
            <w:pPr>
              <w:pStyle w:val="5"/>
              <w:jc w:val="center"/>
              <w:rPr>
                <w:rFonts w:hint="default" w:ascii="宋体" w:hAnsi="宋体" w:eastAsia="宋体" w:cs="宋体"/>
                <w:b w:val="0"/>
                <w:sz w:val="22"/>
                <w:szCs w:val="22"/>
                <w:lang w:val="en-US" w:eastAsia="zh-CN"/>
              </w:rPr>
            </w:pPr>
            <w:r>
              <w:rPr>
                <w:rFonts w:hint="eastAsia" w:ascii="宋体" w:hAnsi="宋体" w:cs="宋体"/>
                <w:b w:val="0"/>
                <w:sz w:val="22"/>
                <w:szCs w:val="22"/>
                <w:lang w:val="en-US" w:eastAsia="zh-CN"/>
              </w:rPr>
              <w:t>5</w:t>
            </w:r>
          </w:p>
        </w:tc>
        <w:tc>
          <w:tcPr>
            <w:tcW w:w="4961" w:type="dxa"/>
            <w:noWrap w:val="0"/>
            <w:vAlign w:val="center"/>
          </w:tcPr>
          <w:p>
            <w:pPr>
              <w:pStyle w:val="5"/>
              <w:jc w:val="left"/>
            </w:pPr>
            <w:r>
              <w:rPr>
                <w:rFonts w:hint="eastAsia"/>
              </w:rPr>
              <w:t>响应文件制作规范，完全符合文件要求得</w:t>
            </w:r>
            <w:r>
              <w:rPr>
                <w:rFonts w:hint="eastAsia"/>
                <w:lang w:val="en-US" w:eastAsia="zh-CN"/>
              </w:rPr>
              <w:t>5</w:t>
            </w:r>
            <w:r>
              <w:rPr>
                <w:rFonts w:hint="eastAsia"/>
              </w:rPr>
              <w:t xml:space="preserve">分；有一项细微偏差扣 </w:t>
            </w:r>
            <w:r>
              <w:rPr>
                <w:rFonts w:hint="eastAsia"/>
                <w:lang w:val="en-US" w:eastAsia="zh-CN"/>
              </w:rPr>
              <w:t>1</w:t>
            </w:r>
            <w:r>
              <w:rPr>
                <w:rFonts w:hint="eastAsia"/>
              </w:rPr>
              <w:t>分，直至该项分值扣完为止。</w:t>
            </w:r>
          </w:p>
        </w:tc>
        <w:tc>
          <w:tcPr>
            <w:tcW w:w="1639" w:type="dxa"/>
            <w:noWrap w:val="0"/>
            <w:vAlign w:val="center"/>
          </w:tcPr>
          <w:p>
            <w:pPr>
              <w:pStyle w:val="5"/>
              <w:ind w:firstLine="200" w:firstLineChars="100"/>
              <w:jc w:val="both"/>
              <w:rPr>
                <w:rFonts w:hint="default"/>
                <w:lang w:val="en-US"/>
              </w:rPr>
            </w:pPr>
          </w:p>
        </w:tc>
      </w:tr>
    </w:tbl>
    <w:p>
      <w:pPr>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C233F0"/>
    <w:multiLevelType w:val="singleLevel"/>
    <w:tmpl w:val="A5C233F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9D79FA"/>
    <w:rsid w:val="1B256297"/>
    <w:rsid w:val="1F6C455A"/>
    <w:rsid w:val="229970D3"/>
    <w:rsid w:val="3C757439"/>
    <w:rsid w:val="4B1003F9"/>
    <w:rsid w:val="57EB194A"/>
    <w:rsid w:val="5FE65EE3"/>
    <w:rsid w:val="61AE20AB"/>
    <w:rsid w:val="63351E52"/>
    <w:rsid w:val="684B40A8"/>
    <w:rsid w:val="7C8347D0"/>
    <w:rsid w:val="7E3930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before="0" w:after="140" w:line="276" w:lineRule="auto"/>
    </w:pPr>
  </w:style>
  <w:style w:type="paragraph" w:customStyle="1" w:styleId="5">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2024-02-08T07:34:00Z</dcterms:created>
  <dc:creator>Administrator</dc:creator>
  <cp:lastModifiedBy>Administrator</cp:lastModifiedBy>
  <cp:lastPrinted>2024-02-20T02:21:27Z</cp:lastPrinted>
  <dcterms:modified xsi:type="dcterms:W3CDTF">2024-02-20T02:58:32Z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676449F6ABD84196B9DE3435015DD9E6</vt:lpwstr>
  </property>
</Properties>
</file>